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32"/>
          <w:szCs w:val="32"/>
        </w:rPr>
        <w:t>Фонд социальной и правовой поддержки населения «Светлица»</w:t>
      </w:r>
      <w:r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</w:p>
    <w:p>
      <w:pPr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</w:rPr>
        <w:t>Информация о численности получателей социальных услуг и об объеме социальных услуг по формам социального обслуживания и видам социальных услуг в соответствии с договорами за счет средств физических лиц и (или) юридических лиц и за счет бюджетных ассигнований Ленинградской области</w:t>
      </w:r>
    </w:p>
    <w:p>
      <w:pPr>
        <w:jc w:val="center"/>
        <w:rPr>
          <w:rFonts w:ascii="Times New Roman" w:hAnsi="Times New Roman"/>
          <w:b w:val="1"/>
          <w:bCs w:val="1"/>
          <w:sz w:val="16"/>
          <w:szCs w:val="16"/>
        </w:rPr>
      </w:pPr>
    </w:p>
    <w:tbl>
      <w:tblPr>
        <w:tblStyle w:val="T2"/>
        <w:tblW w:w="0" w:type="auto"/>
        <w:jc w:val="center"/>
        <w:tblLayout w:type="fixed"/>
        <w:tblLook w:val="04A0"/>
      </w:tblPr>
      <w:tblGrid>
        <w:gridCol w:w="2405"/>
        <w:gridCol w:w="1418"/>
        <w:gridCol w:w="1701"/>
        <w:gridCol w:w="1984"/>
        <w:gridCol w:w="2268"/>
        <w:gridCol w:w="1701"/>
        <w:gridCol w:w="1985"/>
        <w:gridCol w:w="2829"/>
      </w:tblGrid>
      <w:tr>
        <w:trPr>
          <w:jc w:val="center"/>
        </w:trPr>
        <w:tc>
          <w:tcPr>
            <w:tcW w:w="16291" w:type="dxa"/>
            <w:gridSpan w:val="8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Информация о численности получателей социальных услуг по формам социального обслуживания и видам социальных услуг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>
        <w:trPr>
          <w:jc w:val="center"/>
        </w:trPr>
        <w:tc>
          <w:tcPr>
            <w:tcW w:w="16291" w:type="dxa"/>
            <w:gridSpan w:val="8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за март 2026</w:t>
            </w:r>
          </w:p>
        </w:tc>
      </w:tr>
      <w:tr>
        <w:trPr>
          <w:jc w:val="center"/>
        </w:trPr>
        <w:tc>
          <w:tcPr>
            <w:tcW w:w="2405" w:type="dxa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услуг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r>
              <w:rPr>
                <w:rFonts w:ascii="Times New Roman" w:hAnsi="Times New Roman"/>
              </w:rPr>
              <w:t>Финансирование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84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829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>
        <w:trPr>
          <w:trHeight w:hRule="atLeast" w:val="207"/>
          <w:jc w:val="center"/>
        </w:trPr>
        <w:tc>
          <w:tcPr>
            <w:tcW w:w="2405" w:type="dxa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Форма социального обслуживания на дому</w:t>
            </w:r>
          </w:p>
        </w:tc>
      </w:tr>
      <w:tr>
        <w:trPr>
          <w:trHeight w:hRule="atLeast" w:val="303"/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hRule="atLeast" w:val="303"/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mallCaps w:val="0"/>
                <w:color w:val="auto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>
        <w:trPr>
          <w:trHeight w:hRule="atLeast" w:val="268"/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>
        <w:trPr>
          <w:trHeight w:hRule="atLeast" w:val="268"/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>
        <w:trPr>
          <w:trHeight w:hRule="atLeast" w:val="248"/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>
        <w:trPr>
          <w:trHeight w:hRule="atLeast" w:val="248"/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mallCaps w:val="0"/>
                <w:color w:val="auto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36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mallCaps w:val="0"/>
                <w:color w:val="auto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Услуги срочного социального обслуживания</w:t>
            </w:r>
          </w:p>
        </w:tc>
      </w:tr>
      <w:tr>
        <w:trPr>
          <w:trHeight w:hRule="atLeast" w:val="242"/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42"/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13"/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ИТОГО:</w:t>
            </w:r>
          </w:p>
        </w:tc>
      </w:tr>
      <w:tr>
        <w:trPr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647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644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645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60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31</w:t>
            </w:r>
          </w:p>
        </w:tc>
      </w:tr>
      <w:tr>
        <w:trPr>
          <w:jc w:val="center"/>
        </w:trPr>
        <w:tc>
          <w:tcPr>
            <w:tcW w:w="2405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40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</w:tr>
      <w:tr>
        <w:trPr>
          <w:trHeight w:hRule="atLeast" w:val="499"/>
          <w:jc w:val="center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ОБЩИЙ ИТОГ: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0"/>
                <w:smallCaps w:val="0"/>
                <w:sz w:val="36"/>
                <w:szCs w:val="22"/>
                <w:cs w:val="0"/>
                <w:spacing w:val="0"/>
                <w:w w:val="100"/>
                <w:position w:val="0"/>
                <w:snapToGrid w:val="1"/>
              </w:rPr>
              <w:t>687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0"/>
                <w:smallCaps w:val="0"/>
                <w:sz w:val="36"/>
                <w:szCs w:val="22"/>
                <w:cs w:val="0"/>
                <w:spacing w:val="0"/>
                <w:w w:val="100"/>
                <w:position w:val="0"/>
                <w:snapToGrid w:val="1"/>
              </w:rPr>
              <w:t>648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</w:rPr>
              <w:t>645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</w:rPr>
              <w:t>128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</w:rPr>
              <w:t>60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</w:rPr>
              <w:t>31</w:t>
            </w:r>
          </w:p>
        </w:tc>
      </w:tr>
    </w:tbl>
    <w:p>
      <w:pPr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tbl>
      <w:tblPr>
        <w:tblStyle w:val="T2"/>
        <w:tblpPr w:leftFromText="180" w:rightFromText="180" w:tblpX="1" w:tblpY="1" w:vertAnchor="text" w:tblpXSpec="center"/>
        <w:tblOverlap w:val="never"/>
        <w:tblW w:w="0" w:type="auto"/>
        <w:tblLook w:val="04A0"/>
      </w:tblPr>
      <w:tblGrid>
        <w:gridCol w:w="974"/>
        <w:gridCol w:w="720"/>
        <w:gridCol w:w="842"/>
        <w:gridCol w:w="1058"/>
        <w:gridCol w:w="973"/>
        <w:gridCol w:w="720"/>
        <w:gridCol w:w="721"/>
        <w:gridCol w:w="1192"/>
      </w:tblGrid>
      <w:tr>
        <w:tc>
          <w:tcPr>
            <w:tcW w:w="16291" w:type="dxa"/>
            <w:gridSpan w:val="8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Информация о объёме предоставляемых социальных услуг по формам социальных услуг и видам социальных услуг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>
        <w:tc>
          <w:tcPr>
            <w:tcW w:w="16291" w:type="dxa"/>
            <w:gridSpan w:val="8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за март 2026</w:t>
            </w:r>
          </w:p>
        </w:tc>
      </w:tr>
      <w:tr>
        <w:tc>
          <w:tcPr>
            <w:tcW w:w="2368" w:type="dxa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услуг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Финансирование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699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72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5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845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51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782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>
        <w:trPr>
          <w:trHeight w:hRule="atLeast" w:val="207"/>
        </w:trPr>
        <w:tc>
          <w:tcPr>
            <w:tcW w:w="2368" w:type="dxa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3923" w:type="dxa"/>
            <w:gridSpan w:val="7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Форма социального обслуживания на дому</w:t>
            </w:r>
          </w:p>
        </w:tc>
      </w:tr>
      <w:tr>
        <w:trPr>
          <w:trHeight w:hRule="atLeast" w:val="319"/>
        </w:trP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</w:rPr>
            </w:pPr>
            <w:bookmarkStart w:id="0" w:name="_Hlk207868868" w:colFirst="0" w:colLast="7"/>
            <w:r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22804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8041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4421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>
        <w:trPr>
          <w:trHeight w:hRule="atLeast" w:val="319"/>
        </w:trP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31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0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</w:rPr>
            </w:pPr>
            <w:bookmarkEnd w:id="0"/>
          </w:p>
        </w:tc>
        <w:tc>
          <w:tcPr>
            <w:tcW w:w="13923" w:type="dxa"/>
            <w:gridSpan w:val="7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>
        <w:trPr>
          <w:trHeight w:hRule="atLeast" w:val="366"/>
        </w:trP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>
        <w:trPr>
          <w:trHeight w:hRule="atLeast" w:val="366"/>
        </w:trP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3923" w:type="dxa"/>
            <w:gridSpan w:val="7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>
        <w:trPr>
          <w:trHeight w:hRule="atLeast" w:val="377"/>
        </w:trP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21870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2836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1384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>
        <w:trPr>
          <w:trHeight w:hRule="atLeast" w:val="377"/>
        </w:trP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272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40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3923" w:type="dxa"/>
            <w:gridSpan w:val="7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Услуги срочного социального обслуживания</w:t>
            </w:r>
          </w:p>
        </w:tc>
      </w:tr>
      <w:tr>
        <w:trPr>
          <w:trHeight w:hRule="atLeast" w:val="291"/>
        </w:trP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hRule="atLeast" w:val="291"/>
        </w:trP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</w:rPr>
            </w:pPr>
          </w:p>
        </w:tc>
        <w:tc>
          <w:tcPr>
            <w:tcW w:w="1392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ИТОГО:</w:t>
            </w:r>
          </w:p>
        </w:tc>
      </w:tr>
      <w:tr>
        <w:trPr>
          <w:trHeight w:hRule="atLeast" w:val="271"/>
        </w:trP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</w:rPr>
            </w:pPr>
            <w:r>
              <w:rPr>
                <w:rFonts w:ascii="Times New Roman" w:hAnsi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44878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11241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5954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578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60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140</w:t>
            </w:r>
          </w:p>
        </w:tc>
      </w:tr>
      <w:tr>
        <w:trPr>
          <w:trHeight w:hRule="atLeast" w:val="271"/>
        </w:trPr>
        <w:tc>
          <w:tcPr>
            <w:tcW w:w="2368" w:type="dxa"/>
          </w:tcPr>
          <w:p>
            <w:pPr>
              <w:jc w:val="both"/>
              <w:rPr>
                <w:rFonts w:ascii="Times New Roman" w:hAnsi="Times New Roman"/>
                <w:b w:val="1"/>
                <w:bCs w:val="1"/>
              </w:rPr>
            </w:pPr>
            <w:r>
              <w:rPr>
                <w:rFonts w:ascii="Times New Roman" w:hAnsi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303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0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40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0</w:t>
            </w:r>
          </w:p>
        </w:tc>
      </w:tr>
      <w:tr>
        <w:trPr>
          <w:trHeight w:hRule="atLeast" w:val="592"/>
        </w:trPr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bCs w:val="1"/>
                <w:sz w:val="28"/>
                <w:szCs w:val="28"/>
              </w:rPr>
              <w:t>ОБЩИЙ ИТОГ: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0"/>
                <w:smallCaps w:val="0"/>
                <w:sz w:val="36"/>
                <w:szCs w:val="22"/>
                <w:cs w:val="0"/>
                <w:spacing w:val="0"/>
                <w:w w:val="100"/>
                <w:position w:val="0"/>
                <w:snapToGrid w:val="1"/>
              </w:rPr>
              <w:t>45181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0"/>
                <w:smallCaps w:val="0"/>
                <w:sz w:val="36"/>
                <w:szCs w:val="22"/>
                <w:cs w:val="0"/>
                <w:spacing w:val="0"/>
                <w:w w:val="100"/>
                <w:position w:val="0"/>
                <w:snapToGrid w:val="1"/>
              </w:rPr>
              <w:t>11281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</w:rPr>
              <w:t>5954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</w:rPr>
              <w:t>578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</w:rPr>
              <w:t>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</w:rPr>
              <w:t>60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bCs w:val="1"/>
                <w:sz w:val="36"/>
                <w:szCs w:val="36"/>
              </w:rPr>
            </w:pPr>
            <w:r>
              <w:rPr>
                <w:rFonts w:ascii="Times New Roman" w:hAnsi="Times New Roman"/>
                <w:b w:val="1"/>
                <w:bCs w:val="1"/>
                <w:sz w:val="36"/>
                <w:szCs w:val="36"/>
              </w:rPr>
              <w:t>140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</w:p>
    <w:sectPr>
      <w:footnotePr/>
      <w:endnotePr/>
      <w:type w:val="nextPage"/>
      <w:pgSz w:w="16838" w:h="11906" w:code="0" w:orient="landscape"/>
      <w:pgMar w:left="284" w:right="253" w:top="426" w:bottom="426" w:header="708" w:footer="708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3">
    <w:name w:val="Footnote Text"/>
    <w:link w:val="C6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4">
    <w:name w:val="End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ий колонтитул Знак"/>
    <w:basedOn w:val="C0"/>
    <w:link w:val="P1"/>
    <w:rPr/>
  </w:style>
  <w:style w:type="character" w:styleId="C4">
    <w:name w:val="Нижний колонтитул Знак"/>
    <w:basedOn w:val="C0"/>
    <w:link w:val="P2"/>
    <w:rPr/>
  </w:style>
  <w:style w:type="character" w:styleId="C5">
    <w:name w:val="Footnote Reference"/>
    <w:semiHidden/>
    <w:rPr>
      <w:vertAlign w:val="superscript"/>
    </w:rPr>
  </w:style>
  <w:style w:type="character" w:styleId="C6">
    <w:name w:val="Footnote Text Char"/>
    <w:link w:val="P3"/>
    <w:semiHidden/>
    <w:rPr>
      <w:sz w:val="20"/>
      <w:szCs w:val="20"/>
    </w:rPr>
  </w:style>
  <w:style w:type="character" w:styleId="C7">
    <w:name w:val="Endnote Reference"/>
    <w:semiHidden/>
    <w:rPr>
      <w:vertAlign w:val="superscript"/>
    </w:rPr>
  </w:style>
  <w:style w:type="character" w:styleId="C8">
    <w:name w:val="Endnote Text Char"/>
    <w:link w:val="P4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49a-3c47-48d1-8969-ead85d33cacd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Светлица</dc:creator>
  <dcterms:created xsi:type="dcterms:W3CDTF">2024-09-23T08:36:00Z</dcterms:created>
  <cp:lastPrinted>2026-03-10T07:00:00Z</cp:lastPrinted>
  <dcterms:modified xsi:type="dcterms:W3CDTF">2026-04-16T08:13:35Z</dcterms:modified>
  <cp:revision>82</cp:revision>
</cp:coreProperties>
</file>